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10" w:rsidRDefault="009D7D1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586C5E3" wp14:editId="4E629C43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04AE" w:rsidRPr="00D63AFA" w:rsidRDefault="004A147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3AFA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PRACOVNÍ </w:t>
      </w:r>
      <w:proofErr w:type="gramStart"/>
      <w:r w:rsidRPr="00D63AFA">
        <w:rPr>
          <w:rFonts w:ascii="Times New Roman" w:hAnsi="Times New Roman" w:cs="Times New Roman"/>
          <w:b/>
          <w:sz w:val="24"/>
          <w:szCs w:val="24"/>
          <w:u w:val="single"/>
        </w:rPr>
        <w:t xml:space="preserve">LIST  </w:t>
      </w:r>
      <w:proofErr w:type="spellStart"/>
      <w:r w:rsidRPr="00D63AFA">
        <w:rPr>
          <w:rFonts w:ascii="Times New Roman" w:hAnsi="Times New Roman" w:cs="Times New Roman"/>
          <w:b/>
          <w:sz w:val="24"/>
          <w:szCs w:val="24"/>
          <w:u w:val="single"/>
        </w:rPr>
        <w:t>Ediakarská</w:t>
      </w:r>
      <w:proofErr w:type="spellEnd"/>
      <w:proofErr w:type="gramEnd"/>
      <w:r w:rsidRPr="00D63AFA">
        <w:rPr>
          <w:rFonts w:ascii="Times New Roman" w:hAnsi="Times New Roman" w:cs="Times New Roman"/>
          <w:b/>
          <w:sz w:val="24"/>
          <w:szCs w:val="24"/>
          <w:u w:val="single"/>
        </w:rPr>
        <w:t xml:space="preserve"> fauna II</w:t>
      </w:r>
    </w:p>
    <w:p w:rsidR="004A147D" w:rsidRDefault="004A14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47D"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 fauna je pojmenována podle </w:t>
      </w:r>
      <w:proofErr w:type="spellStart"/>
      <w:r w:rsidRPr="004A147D">
        <w:rPr>
          <w:rFonts w:ascii="Times New Roman" w:hAnsi="Times New Roman" w:cs="Times New Roman"/>
          <w:sz w:val="24"/>
          <w:szCs w:val="24"/>
        </w:rPr>
        <w:t>Ediakarských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 kopců v jižní Austrálii. Poprvé byla objevena v roce 1946. </w:t>
      </w:r>
      <w:proofErr w:type="spellStart"/>
      <w:r w:rsidRPr="004A147D"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 fauna zahrnuje organismy, které připomínají medúzy, korály, kroužkovce (červy), ostnokožce a členovce. Zajímavostí této fauny je to, že organismy neměly vytvořenou pevnou schránku. Dokonce neměly ani ústní otvor, kterým by přijímaly potravu. Potravu proto přijímaly celým povrchem těla. </w:t>
      </w:r>
      <w:proofErr w:type="spellStart"/>
      <w:r w:rsidRPr="004A147D"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 organismy pravděpodobně vedly klidný život, neboť neměly žádné nepřátele v podobě predátorů.</w:t>
      </w:r>
    </w:p>
    <w:p w:rsidR="004A147D" w:rsidRDefault="004A1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38750" cy="36290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47D" w:rsidRDefault="004A14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Fosilní </w:t>
      </w:r>
      <w:proofErr w:type="spellStart"/>
      <w:r>
        <w:rPr>
          <w:rFonts w:ascii="Times New Roman" w:hAnsi="Times New Roman" w:cs="Times New Roman"/>
          <w:sz w:val="24"/>
          <w:szCs w:val="24"/>
        </w:rPr>
        <w:t>společensko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 s řadou reprezentativních </w:t>
      </w:r>
      <w:proofErr w:type="gramStart"/>
      <w:r>
        <w:rPr>
          <w:rFonts w:ascii="Times New Roman" w:hAnsi="Times New Roman" w:cs="Times New Roman"/>
          <w:sz w:val="24"/>
          <w:szCs w:val="24"/>
        </w:rPr>
        <w:t>taxonů.</w:t>
      </w:r>
      <w:r w:rsidRPr="004A147D">
        <w:rPr>
          <w:rFonts w:ascii="Times New Roman" w:hAnsi="Times New Roman" w:cs="Times New Roman"/>
          <w:sz w:val="24"/>
          <w:szCs w:val="24"/>
        </w:rPr>
        <w:t>F</w:t>
      </w:r>
      <w:proofErr w:type="gramEnd"/>
    </w:p>
    <w:p w:rsidR="004A147D" w:rsidRDefault="004A147D">
      <w:pPr>
        <w:rPr>
          <w:rFonts w:ascii="Times New Roman" w:hAnsi="Times New Roman" w:cs="Times New Roman"/>
          <w:sz w:val="24"/>
          <w:szCs w:val="24"/>
        </w:rPr>
      </w:pPr>
      <w:r w:rsidRPr="004A147D">
        <w:rPr>
          <w:rFonts w:ascii="Times New Roman" w:hAnsi="Times New Roman" w:cs="Times New Roman"/>
          <w:sz w:val="24"/>
          <w:szCs w:val="24"/>
        </w:rPr>
        <w:t xml:space="preserve"> (a)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Aspidella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(b)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Ivesheadia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(c)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Charnia</w:t>
      </w:r>
      <w:proofErr w:type="spellEnd"/>
      <w:r w:rsidRPr="004A14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wardi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(d)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Charnia</w:t>
      </w:r>
      <w:proofErr w:type="spellEnd"/>
      <w:r w:rsidRPr="004A14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masoni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(e)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Charniodiscus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(f) </w:t>
      </w:r>
      <w:proofErr w:type="spellStart"/>
      <w:r w:rsidRPr="004A147D">
        <w:rPr>
          <w:rFonts w:ascii="Times New Roman" w:hAnsi="Times New Roman" w:cs="Times New Roman"/>
          <w:b/>
          <w:i/>
          <w:sz w:val="24"/>
          <w:szCs w:val="24"/>
        </w:rPr>
        <w:t>Hiemalora</w:t>
      </w:r>
      <w:proofErr w:type="spellEnd"/>
      <w:r w:rsidR="00702519">
        <w:rPr>
          <w:rFonts w:ascii="Times New Roman" w:hAnsi="Times New Roman" w:cs="Times New Roman"/>
          <w:sz w:val="24"/>
          <w:szCs w:val="24"/>
        </w:rPr>
        <w:t>; (g) vřetenovitá forma</w:t>
      </w:r>
      <w:r w:rsidRPr="004A147D">
        <w:rPr>
          <w:rFonts w:ascii="Times New Roman" w:hAnsi="Times New Roman" w:cs="Times New Roman"/>
          <w:sz w:val="24"/>
          <w:szCs w:val="24"/>
        </w:rPr>
        <w:t xml:space="preserve">; (h)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Bradgatia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>; (i)</w:t>
      </w:r>
      <w:r w:rsidR="00702519">
        <w:rPr>
          <w:rFonts w:ascii="Times New Roman" w:hAnsi="Times New Roman" w:cs="Times New Roman"/>
          <w:sz w:val="24"/>
          <w:szCs w:val="24"/>
        </w:rPr>
        <w:t xml:space="preserve"> síťovitá forma; (j) hřebenovitá forma</w:t>
      </w:r>
      <w:r w:rsidRPr="004A147D">
        <w:rPr>
          <w:rFonts w:ascii="Times New Roman" w:hAnsi="Times New Roman" w:cs="Times New Roman"/>
          <w:sz w:val="24"/>
          <w:szCs w:val="24"/>
        </w:rPr>
        <w:t xml:space="preserve">; (k)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Beltanelliformis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(l)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Dickinsonia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(m)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Tribrachidium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(n)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Parvancorina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(o)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Kimberella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(p)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Spriggina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(q)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Pteridinium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(r)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Cloudina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 xml:space="preserve">; (s) </w:t>
      </w:r>
      <w:proofErr w:type="spellStart"/>
      <w:r w:rsidRPr="00702519">
        <w:rPr>
          <w:rFonts w:ascii="Times New Roman" w:hAnsi="Times New Roman" w:cs="Times New Roman"/>
          <w:b/>
          <w:i/>
          <w:sz w:val="24"/>
          <w:szCs w:val="24"/>
        </w:rPr>
        <w:t>Swartpuntia</w:t>
      </w:r>
      <w:proofErr w:type="spellEnd"/>
      <w:r w:rsidRPr="004A147D">
        <w:rPr>
          <w:rFonts w:ascii="Times New Roman" w:hAnsi="Times New Roman" w:cs="Times New Roman"/>
          <w:sz w:val="24"/>
          <w:szCs w:val="24"/>
        </w:rPr>
        <w:t>.</w:t>
      </w:r>
    </w:p>
    <w:p w:rsidR="00702519" w:rsidRDefault="00702519">
      <w:pPr>
        <w:rPr>
          <w:rFonts w:ascii="Times New Roman" w:hAnsi="Times New Roman" w:cs="Times New Roman"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Vyhledej na internetu informace o těchto druzích:</w:t>
      </w: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  <w:r w:rsidRPr="007025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A.  </w:t>
      </w:r>
      <w:proofErr w:type="spellStart"/>
      <w:r w:rsidRPr="00702519">
        <w:rPr>
          <w:rFonts w:ascii="Times New Roman" w:hAnsi="Times New Roman" w:cs="Times New Roman"/>
          <w:b/>
          <w:sz w:val="24"/>
          <w:szCs w:val="24"/>
        </w:rPr>
        <w:t>Dickinsonia</w:t>
      </w:r>
      <w:proofErr w:type="spellEnd"/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Spriggina</w:t>
      </w:r>
      <w:proofErr w:type="spellEnd"/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Cloudina</w:t>
      </w:r>
      <w:proofErr w:type="spellEnd"/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Pteridinium</w:t>
      </w:r>
      <w:proofErr w:type="spellEnd"/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Default="00702519">
      <w:pPr>
        <w:rPr>
          <w:rFonts w:ascii="Times New Roman" w:hAnsi="Times New Roman" w:cs="Times New Roman"/>
          <w:b/>
          <w:sz w:val="24"/>
          <w:szCs w:val="24"/>
        </w:rPr>
      </w:pPr>
    </w:p>
    <w:p w:rsidR="00702519" w:rsidRPr="00702519" w:rsidRDefault="007025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Vyhledej další naleziště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fauny ve světě?</w:t>
      </w:r>
    </w:p>
    <w:sectPr w:rsidR="00702519" w:rsidRPr="00702519" w:rsidSect="00690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7D"/>
    <w:rsid w:val="004A147D"/>
    <w:rsid w:val="006904AE"/>
    <w:rsid w:val="00702519"/>
    <w:rsid w:val="009D7D10"/>
    <w:rsid w:val="00D6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1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1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2015-04-26T12:56:00Z</dcterms:created>
  <dcterms:modified xsi:type="dcterms:W3CDTF">2015-04-26T12:56:00Z</dcterms:modified>
</cp:coreProperties>
</file>