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08D" w:rsidRDefault="00AC608D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BAD0869" wp14:editId="48286F26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734" w:rsidRDefault="00B6029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Pracovní list paleontologie</w:t>
      </w:r>
    </w:p>
    <w:p w:rsidR="00B60293" w:rsidRDefault="00B602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Střední devon u Koněprus.</w:t>
      </w:r>
    </w:p>
    <w:bookmarkEnd w:id="0"/>
    <w:p w:rsidR="00B60293" w:rsidRDefault="00B602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60720" cy="4309140"/>
            <wp:effectExtent l="19050" t="0" r="0" b="0"/>
            <wp:docPr id="1" name="obrázek 1" descr="D:\Dokumenty\Moje naskenované obrázky\2011-09 (IX)\skenování00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1-09 (IX)\skenování004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0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0293" w:rsidRDefault="00B602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Střední devon (</w:t>
      </w:r>
      <w:proofErr w:type="spellStart"/>
      <w:r>
        <w:rPr>
          <w:rFonts w:ascii="Times New Roman" w:hAnsi="Times New Roman" w:cs="Times New Roman"/>
          <w:sz w:val="24"/>
          <w:szCs w:val="24"/>
        </w:rPr>
        <w:t>eifel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Průzračná mělčina tropického </w:t>
      </w:r>
      <w:proofErr w:type="spellStart"/>
      <w:r>
        <w:rPr>
          <w:rFonts w:ascii="Times New Roman" w:hAnsi="Times New Roman" w:cs="Times New Roman"/>
          <w:sz w:val="24"/>
          <w:szCs w:val="24"/>
        </w:rPr>
        <w:t>střednodevonského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moře u Koněprus měla ráz útesové plošiny, která vznikla nad někdejším </w:t>
      </w:r>
      <w:proofErr w:type="spellStart"/>
      <w:r>
        <w:rPr>
          <w:rFonts w:ascii="Times New Roman" w:hAnsi="Times New Roman" w:cs="Times New Roman"/>
          <w:sz w:val="24"/>
          <w:szCs w:val="24"/>
        </w:rPr>
        <w:t>spodnodevonským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útesem a jeho okrajem. V prosvětlených a prokysličených vodách se dařilo zejména </w:t>
      </w:r>
      <w:r w:rsidRPr="00B60293">
        <w:rPr>
          <w:rFonts w:ascii="Times New Roman" w:hAnsi="Times New Roman" w:cs="Times New Roman"/>
          <w:b/>
          <w:sz w:val="24"/>
          <w:szCs w:val="24"/>
        </w:rPr>
        <w:t>drsnatým korálům</w:t>
      </w:r>
      <w:r>
        <w:rPr>
          <w:rFonts w:ascii="Times New Roman" w:hAnsi="Times New Roman" w:cs="Times New Roman"/>
          <w:sz w:val="24"/>
          <w:szCs w:val="24"/>
        </w:rPr>
        <w:t xml:space="preserve"> rodu </w:t>
      </w:r>
      <w:proofErr w:type="spellStart"/>
      <w:r w:rsidRPr="00B60293">
        <w:rPr>
          <w:rFonts w:ascii="Times New Roman" w:hAnsi="Times New Roman" w:cs="Times New Roman"/>
          <w:b/>
          <w:i/>
          <w:sz w:val="24"/>
          <w:szCs w:val="24"/>
        </w:rPr>
        <w:t>Amplexus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(1), vytvářejícím často menší trsy. Velmi hojní zde byli také </w:t>
      </w:r>
      <w:r w:rsidRPr="00B60293">
        <w:rPr>
          <w:rFonts w:ascii="Times New Roman" w:hAnsi="Times New Roman" w:cs="Times New Roman"/>
          <w:b/>
          <w:sz w:val="24"/>
          <w:szCs w:val="24"/>
        </w:rPr>
        <w:t>ramenonožci</w:t>
      </w:r>
      <w:r>
        <w:rPr>
          <w:rFonts w:ascii="Times New Roman" w:hAnsi="Times New Roman" w:cs="Times New Roman"/>
          <w:sz w:val="24"/>
          <w:szCs w:val="24"/>
        </w:rPr>
        <w:t xml:space="preserve">, např. </w:t>
      </w:r>
      <w:proofErr w:type="spellStart"/>
      <w:r w:rsidRPr="00B60293">
        <w:rPr>
          <w:rFonts w:ascii="Times New Roman" w:hAnsi="Times New Roman" w:cs="Times New Roman"/>
          <w:b/>
          <w:i/>
          <w:sz w:val="24"/>
          <w:szCs w:val="24"/>
        </w:rPr>
        <w:t>Rhynchatrypa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(2). Charakteristickými </w:t>
      </w:r>
      <w:r w:rsidRPr="00B60293">
        <w:rPr>
          <w:rFonts w:ascii="Times New Roman" w:hAnsi="Times New Roman" w:cs="Times New Roman"/>
          <w:b/>
          <w:sz w:val="24"/>
          <w:szCs w:val="24"/>
        </w:rPr>
        <w:t>trilobity</w:t>
      </w:r>
      <w:r>
        <w:rPr>
          <w:rFonts w:ascii="Times New Roman" w:hAnsi="Times New Roman" w:cs="Times New Roman"/>
          <w:sz w:val="24"/>
          <w:szCs w:val="24"/>
        </w:rPr>
        <w:t xml:space="preserve"> jsou </w:t>
      </w:r>
      <w:proofErr w:type="spellStart"/>
      <w:r w:rsidRPr="00B60293">
        <w:rPr>
          <w:rFonts w:ascii="Times New Roman" w:hAnsi="Times New Roman" w:cs="Times New Roman"/>
          <w:b/>
          <w:i/>
          <w:sz w:val="24"/>
          <w:szCs w:val="24"/>
        </w:rPr>
        <w:t>Acanthopyge</w:t>
      </w:r>
      <w:proofErr w:type="spellEnd"/>
      <w:r w:rsidRPr="00B6029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(3), </w:t>
      </w:r>
      <w:proofErr w:type="spellStart"/>
      <w:r w:rsidRPr="00B60293">
        <w:rPr>
          <w:rFonts w:ascii="Times New Roman" w:hAnsi="Times New Roman" w:cs="Times New Roman"/>
          <w:b/>
          <w:i/>
          <w:sz w:val="24"/>
          <w:szCs w:val="24"/>
        </w:rPr>
        <w:t>Thysanopeltis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(4) a </w:t>
      </w:r>
      <w:proofErr w:type="spellStart"/>
      <w:r w:rsidRPr="00B60293">
        <w:rPr>
          <w:rFonts w:ascii="Times New Roman" w:hAnsi="Times New Roman" w:cs="Times New Roman"/>
          <w:b/>
          <w:i/>
          <w:sz w:val="24"/>
          <w:szCs w:val="24"/>
        </w:rPr>
        <w:t>Crotalocephalus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(5). Na úkor </w:t>
      </w:r>
      <w:proofErr w:type="spellStart"/>
      <w:r>
        <w:rPr>
          <w:rFonts w:ascii="Times New Roman" w:hAnsi="Times New Roman" w:cs="Times New Roman"/>
          <w:sz w:val="24"/>
          <w:szCs w:val="24"/>
        </w:rPr>
        <w:t>loděnkovitých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hlavonožců se výrazně prosadili</w:t>
      </w:r>
      <w:r w:rsidRPr="00B602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60293">
        <w:rPr>
          <w:rFonts w:ascii="Times New Roman" w:hAnsi="Times New Roman" w:cs="Times New Roman"/>
          <w:b/>
          <w:sz w:val="24"/>
          <w:szCs w:val="24"/>
        </w:rPr>
        <w:t>goniatiti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Zvláště hojný z nich byl </w:t>
      </w:r>
      <w:proofErr w:type="spellStart"/>
      <w:r w:rsidRPr="00B60293">
        <w:rPr>
          <w:rFonts w:ascii="Times New Roman" w:hAnsi="Times New Roman" w:cs="Times New Roman"/>
          <w:b/>
          <w:i/>
          <w:sz w:val="24"/>
          <w:szCs w:val="24"/>
        </w:rPr>
        <w:t>Fidelites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(6), poměrně hojně byl zastoupen i rod </w:t>
      </w:r>
      <w:proofErr w:type="spellStart"/>
      <w:r w:rsidRPr="00B60293">
        <w:rPr>
          <w:rFonts w:ascii="Times New Roman" w:hAnsi="Times New Roman" w:cs="Times New Roman"/>
          <w:b/>
          <w:i/>
          <w:sz w:val="24"/>
          <w:szCs w:val="24"/>
        </w:rPr>
        <w:t>Foordites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(7). (podle V. Turka a kol. 2003)</w:t>
      </w:r>
    </w:p>
    <w:p w:rsidR="00B60293" w:rsidRDefault="00B602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Podle populárně naučné literatury nebo internetu vyhledej odpovědi na následující otázky.</w:t>
      </w:r>
    </w:p>
    <w:p w:rsidR="00B60293" w:rsidRDefault="00B60293" w:rsidP="00B6029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Koráli patří </w:t>
      </w:r>
      <w:proofErr w:type="gramStart"/>
      <w:r>
        <w:rPr>
          <w:rFonts w:ascii="Times New Roman" w:hAnsi="Times New Roman" w:cs="Times New Roman"/>
          <w:sz w:val="24"/>
          <w:szCs w:val="24"/>
        </w:rPr>
        <w:t>mezi</w:t>
      </w:r>
      <w:proofErr w:type="gramEnd"/>
      <w:r>
        <w:rPr>
          <w:rFonts w:ascii="Times New Roman" w:hAnsi="Times New Roman" w:cs="Times New Roman"/>
          <w:sz w:val="24"/>
          <w:szCs w:val="24"/>
        </w:rPr>
        <w:t>?</w:t>
      </w:r>
    </w:p>
    <w:p w:rsidR="00B60293" w:rsidRDefault="00B60293" w:rsidP="00B60293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a) žahavce</w:t>
      </w:r>
    </w:p>
    <w:p w:rsidR="00B60293" w:rsidRDefault="00B60293" w:rsidP="00B60293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ploštěnce</w:t>
      </w:r>
    </w:p>
    <w:p w:rsidR="00B60293" w:rsidRDefault="00B60293" w:rsidP="00B60293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proofErr w:type="spellStart"/>
      <w:r>
        <w:rPr>
          <w:rFonts w:ascii="Times New Roman" w:hAnsi="Times New Roman" w:cs="Times New Roman"/>
          <w:sz w:val="24"/>
          <w:szCs w:val="24"/>
        </w:rPr>
        <w:t>poupěnce</w:t>
      </w:r>
      <w:proofErr w:type="spellEnd"/>
    </w:p>
    <w:p w:rsidR="00B60293" w:rsidRDefault="00B60293" w:rsidP="00B6029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B60293" w:rsidRDefault="00B60293" w:rsidP="00B6029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Popiš stavbu korálového útesu a zjisti jeho význam v mořském ekosystému?</w:t>
      </w:r>
    </w:p>
    <w:p w:rsidR="00B60293" w:rsidRDefault="00B60293" w:rsidP="00B60293">
      <w:pPr>
        <w:rPr>
          <w:rFonts w:ascii="Times New Roman" w:hAnsi="Times New Roman" w:cs="Times New Roman"/>
          <w:sz w:val="24"/>
          <w:szCs w:val="24"/>
        </w:rPr>
      </w:pPr>
    </w:p>
    <w:p w:rsidR="00B60293" w:rsidRDefault="00B60293" w:rsidP="00B60293">
      <w:pPr>
        <w:rPr>
          <w:rFonts w:ascii="Times New Roman" w:hAnsi="Times New Roman" w:cs="Times New Roman"/>
          <w:sz w:val="24"/>
          <w:szCs w:val="24"/>
        </w:rPr>
      </w:pPr>
    </w:p>
    <w:p w:rsidR="00B60293" w:rsidRDefault="00B60293" w:rsidP="00B60293">
      <w:pPr>
        <w:rPr>
          <w:rFonts w:ascii="Times New Roman" w:hAnsi="Times New Roman" w:cs="Times New Roman"/>
          <w:sz w:val="24"/>
          <w:szCs w:val="24"/>
        </w:rPr>
      </w:pPr>
    </w:p>
    <w:p w:rsidR="00B60293" w:rsidRDefault="00B60293" w:rsidP="00B60293">
      <w:pPr>
        <w:rPr>
          <w:rFonts w:ascii="Times New Roman" w:hAnsi="Times New Roman" w:cs="Times New Roman"/>
          <w:sz w:val="24"/>
          <w:szCs w:val="24"/>
        </w:rPr>
      </w:pPr>
    </w:p>
    <w:p w:rsidR="00B60293" w:rsidRDefault="00B60293" w:rsidP="00B60293">
      <w:pPr>
        <w:rPr>
          <w:rFonts w:ascii="Times New Roman" w:hAnsi="Times New Roman" w:cs="Times New Roman"/>
          <w:sz w:val="24"/>
          <w:szCs w:val="24"/>
        </w:rPr>
      </w:pPr>
    </w:p>
    <w:p w:rsidR="00B60293" w:rsidRDefault="00B60293" w:rsidP="00B6029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devonu žili dvě skupiny korálů, a to </w:t>
      </w:r>
      <w:proofErr w:type="spellStart"/>
      <w:r>
        <w:rPr>
          <w:rFonts w:ascii="Times New Roman" w:hAnsi="Times New Roman" w:cs="Times New Roman"/>
          <w:sz w:val="24"/>
          <w:szCs w:val="24"/>
        </w:rPr>
        <w:t>deskatí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tabulátní</w:t>
      </w:r>
      <w:proofErr w:type="spellEnd"/>
      <w:r>
        <w:rPr>
          <w:rFonts w:ascii="Times New Roman" w:hAnsi="Times New Roman" w:cs="Times New Roman"/>
          <w:sz w:val="24"/>
          <w:szCs w:val="24"/>
        </w:rPr>
        <w:t>) a drsnatí (</w:t>
      </w:r>
      <w:proofErr w:type="spellStart"/>
      <w:r>
        <w:rPr>
          <w:rFonts w:ascii="Times New Roman" w:hAnsi="Times New Roman" w:cs="Times New Roman"/>
          <w:sz w:val="24"/>
          <w:szCs w:val="24"/>
        </w:rPr>
        <w:t>rugózní</w:t>
      </w:r>
      <w:proofErr w:type="spellEnd"/>
      <w:r>
        <w:rPr>
          <w:rFonts w:ascii="Times New Roman" w:hAnsi="Times New Roman" w:cs="Times New Roman"/>
          <w:sz w:val="24"/>
          <w:szCs w:val="24"/>
        </w:rPr>
        <w:t>). Obě skupiny na konci prvohor vyhynuly, pokus se vysvětlit proč?</w:t>
      </w:r>
    </w:p>
    <w:p w:rsidR="00A03F03" w:rsidRDefault="00A03F03" w:rsidP="00A03F03">
      <w:pPr>
        <w:rPr>
          <w:rFonts w:ascii="Times New Roman" w:hAnsi="Times New Roman" w:cs="Times New Roman"/>
          <w:sz w:val="24"/>
          <w:szCs w:val="24"/>
        </w:rPr>
      </w:pPr>
    </w:p>
    <w:p w:rsidR="00A03F03" w:rsidRDefault="00A03F03" w:rsidP="00A03F03">
      <w:pPr>
        <w:rPr>
          <w:rFonts w:ascii="Times New Roman" w:hAnsi="Times New Roman" w:cs="Times New Roman"/>
          <w:sz w:val="24"/>
          <w:szCs w:val="24"/>
        </w:rPr>
      </w:pPr>
    </w:p>
    <w:p w:rsidR="00A03F03" w:rsidRDefault="00A03F03" w:rsidP="00A03F03">
      <w:pPr>
        <w:rPr>
          <w:rFonts w:ascii="Times New Roman" w:hAnsi="Times New Roman" w:cs="Times New Roman"/>
          <w:sz w:val="24"/>
          <w:szCs w:val="24"/>
        </w:rPr>
      </w:pPr>
    </w:p>
    <w:p w:rsidR="00A03F03" w:rsidRDefault="00A03F03" w:rsidP="00A03F03">
      <w:pPr>
        <w:rPr>
          <w:rFonts w:ascii="Times New Roman" w:hAnsi="Times New Roman" w:cs="Times New Roman"/>
          <w:sz w:val="24"/>
          <w:szCs w:val="24"/>
        </w:rPr>
      </w:pPr>
    </w:p>
    <w:p w:rsidR="00A03F03" w:rsidRDefault="00A03F03" w:rsidP="00A03F03">
      <w:pPr>
        <w:rPr>
          <w:rFonts w:ascii="Times New Roman" w:hAnsi="Times New Roman" w:cs="Times New Roman"/>
          <w:sz w:val="24"/>
          <w:szCs w:val="24"/>
        </w:rPr>
      </w:pPr>
    </w:p>
    <w:p w:rsidR="00A03F03" w:rsidRDefault="00A03F03" w:rsidP="00A03F03">
      <w:pPr>
        <w:rPr>
          <w:rFonts w:ascii="Times New Roman" w:hAnsi="Times New Roman" w:cs="Times New Roman"/>
          <w:sz w:val="24"/>
          <w:szCs w:val="24"/>
        </w:rPr>
      </w:pPr>
    </w:p>
    <w:p w:rsidR="00A03F03" w:rsidRDefault="00A03F03" w:rsidP="00A03F03">
      <w:pPr>
        <w:rPr>
          <w:rFonts w:ascii="Times New Roman" w:hAnsi="Times New Roman" w:cs="Times New Roman"/>
          <w:sz w:val="24"/>
          <w:szCs w:val="24"/>
        </w:rPr>
      </w:pPr>
    </w:p>
    <w:p w:rsidR="00A03F03" w:rsidRDefault="00A03F03" w:rsidP="00A03F03">
      <w:pPr>
        <w:rPr>
          <w:rFonts w:ascii="Times New Roman" w:hAnsi="Times New Roman" w:cs="Times New Roman"/>
          <w:sz w:val="24"/>
          <w:szCs w:val="24"/>
        </w:rPr>
      </w:pPr>
    </w:p>
    <w:p w:rsidR="00A03F03" w:rsidRDefault="00A03F03" w:rsidP="00A03F0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Amonoidní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hlavonožci prvohor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goniatiti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náleželi </w:t>
      </w:r>
      <w:proofErr w:type="gramStart"/>
      <w:r>
        <w:rPr>
          <w:rFonts w:ascii="Times New Roman" w:hAnsi="Times New Roman" w:cs="Times New Roman"/>
          <w:sz w:val="24"/>
          <w:szCs w:val="24"/>
        </w:rPr>
        <w:t>mezi</w:t>
      </w:r>
      <w:proofErr w:type="gramEnd"/>
      <w:r>
        <w:rPr>
          <w:rFonts w:ascii="Times New Roman" w:hAnsi="Times New Roman" w:cs="Times New Roman"/>
          <w:sz w:val="24"/>
          <w:szCs w:val="24"/>
        </w:rPr>
        <w:t>?</w:t>
      </w:r>
    </w:p>
    <w:p w:rsidR="00A03F03" w:rsidRDefault="00A03F03" w:rsidP="00A03F03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proofErr w:type="spellStart"/>
      <w:r>
        <w:rPr>
          <w:rFonts w:ascii="Times New Roman" w:hAnsi="Times New Roman" w:cs="Times New Roman"/>
          <w:sz w:val="24"/>
          <w:szCs w:val="24"/>
        </w:rPr>
        <w:t>filtrátory</w:t>
      </w:r>
      <w:proofErr w:type="spellEnd"/>
    </w:p>
    <w:p w:rsidR="00A03F03" w:rsidRDefault="00A03F03" w:rsidP="00A03F03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dravce</w:t>
      </w:r>
    </w:p>
    <w:p w:rsidR="00A03F03" w:rsidRDefault="00A03F03" w:rsidP="00A03F03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býložravce</w:t>
      </w:r>
    </w:p>
    <w:p w:rsidR="00A03F03" w:rsidRDefault="00A03F03" w:rsidP="00A03F0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A03F03" w:rsidRDefault="00A03F03" w:rsidP="00A03F0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A03F03" w:rsidRDefault="00A03F03" w:rsidP="00A03F0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Která událost </w:t>
      </w:r>
      <w:r w:rsidRPr="00A03F03">
        <w:rPr>
          <w:rFonts w:ascii="Times New Roman" w:hAnsi="Times New Roman" w:cs="Times New Roman"/>
          <w:b/>
          <w:sz w:val="24"/>
          <w:szCs w:val="24"/>
        </w:rPr>
        <w:t>se nestala</w:t>
      </w:r>
      <w:r>
        <w:rPr>
          <w:rFonts w:ascii="Times New Roman" w:hAnsi="Times New Roman" w:cs="Times New Roman"/>
          <w:sz w:val="24"/>
          <w:szCs w:val="24"/>
        </w:rPr>
        <w:t xml:space="preserve"> v devonu?</w:t>
      </w:r>
    </w:p>
    <w:p w:rsidR="00A03F03" w:rsidRDefault="00A03F03" w:rsidP="00A03F03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přechod rostlin na souš</w:t>
      </w:r>
    </w:p>
    <w:p w:rsidR="00A03F03" w:rsidRDefault="00A03F03" w:rsidP="00A03F03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na konci začalo variské vrásnění</w:t>
      </w:r>
    </w:p>
    <w:p w:rsidR="00A03F03" w:rsidRPr="00A03F03" w:rsidRDefault="00A03F03" w:rsidP="00A03F03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vznik obojživelníků</w:t>
      </w:r>
    </w:p>
    <w:sectPr w:rsidR="00A03F03" w:rsidRPr="00A03F03" w:rsidSect="001F17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1E7B12"/>
    <w:multiLevelType w:val="hybridMultilevel"/>
    <w:tmpl w:val="56546D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293"/>
    <w:rsid w:val="001F1734"/>
    <w:rsid w:val="00A03F03"/>
    <w:rsid w:val="00AC608D"/>
    <w:rsid w:val="00B43A4F"/>
    <w:rsid w:val="00B60293"/>
    <w:rsid w:val="00B62181"/>
    <w:rsid w:val="00CB4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60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0293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602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60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0293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602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2015-04-26T14:38:00Z</dcterms:created>
  <dcterms:modified xsi:type="dcterms:W3CDTF">2015-04-26T14:38:00Z</dcterms:modified>
</cp:coreProperties>
</file>